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高中教師答案、示例與 Rubric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一、教師示例：策展主張</w:t>
      </w:r>
    </w:p>
    <w:p>
      <w:r>
        <w:t>可接受示例：本展可以引導觀眾看見大庄事件不只是單一事件敘述，而是由行政紀錄、地名、圖像與後來的詮釋共同形成的歷史理解。此主張須以來源類型比較支持，而不可直接宣稱已完整重建所有當事人的聲音。</w:t>
      </w:r>
    </w:p>
    <w:p>
      <w:pPr>
        <w:pStyle w:val="Heading1"/>
      </w:pPr>
      <w:r>
        <w:t>二、不可接受示例</w:t>
      </w:r>
    </w:p>
    <w:p>
      <w:pPr>
        <w:pStyle w:val="ListBullet"/>
      </w:pPr>
      <w:r>
        <w:t>將『呂家望』直接寫成某位人物並展開生平故事。</w:t>
      </w:r>
    </w:p>
    <w:p>
      <w:pPr>
        <w:pStyle w:val="ListBullet"/>
      </w:pPr>
      <w:r>
        <w:t>宣稱已完整還原所有原住民族當事人的想法。</w:t>
      </w:r>
    </w:p>
    <w:p>
      <w:pPr>
        <w:pStyle w:val="ListBullet"/>
      </w:pPr>
      <w:r>
        <w:t>將文學性敘述當作原始史料證據。</w:t>
      </w:r>
    </w:p>
    <w:p>
      <w:pPr>
        <w:pStyle w:val="ListBullet"/>
      </w:pPr>
      <w:r>
        <w:t>忽略來源差異，將所有資料合併成單一確定版本。</w:t>
      </w:r>
    </w:p>
    <w:p>
      <w:pPr>
        <w:pStyle w:val="Heading1"/>
      </w:pPr>
      <w:r>
        <w:t>三、微型策展 Rubric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</w:tcPr>
          <w:p>
            <w:r>
              <w:rPr>
                <w:b/>
              </w:rPr>
              <w:t>準則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4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3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2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1</w:t>
            </w:r>
          </w:p>
        </w:tc>
      </w:tr>
      <w:tr>
        <w:tc>
          <w:tcPr>
            <w:tcW w:type="dxa" w:w="2040"/>
            <w:vAlign w:val="top"/>
          </w:tcPr>
          <w:p>
            <w:r>
              <w:t>史料批判</w:t>
            </w:r>
          </w:p>
        </w:tc>
        <w:tc>
          <w:tcPr>
            <w:tcW w:type="dxa" w:w="2040"/>
            <w:vAlign w:val="top"/>
          </w:tcPr>
          <w:p>
            <w:r>
              <w:t>精準分析史料生成背景與限制</w:t>
            </w:r>
          </w:p>
        </w:tc>
        <w:tc>
          <w:tcPr>
            <w:tcW w:type="dxa" w:w="2040"/>
            <w:vAlign w:val="top"/>
          </w:tcPr>
          <w:p>
            <w:r>
              <w:t>能指出主要來源限制</w:t>
            </w:r>
          </w:p>
        </w:tc>
        <w:tc>
          <w:tcPr>
            <w:tcW w:type="dxa" w:w="2040"/>
            <w:vAlign w:val="top"/>
          </w:tcPr>
          <w:p>
            <w:r>
              <w:t>分析表面化</w:t>
            </w:r>
          </w:p>
        </w:tc>
        <w:tc>
          <w:tcPr>
            <w:tcW w:type="dxa" w:w="2040"/>
            <w:vAlign w:val="top"/>
          </w:tcPr>
          <w:p>
            <w:r>
              <w:t>無史料批判</w:t>
            </w:r>
          </w:p>
        </w:tc>
      </w:tr>
      <w:tr>
        <w:tc>
          <w:tcPr>
            <w:tcW w:type="dxa" w:w="2040"/>
            <w:vAlign w:val="top"/>
          </w:tcPr>
          <w:p>
            <w:r>
              <w:t>證據適切性</w:t>
            </w:r>
          </w:p>
        </w:tc>
        <w:tc>
          <w:tcPr>
            <w:tcW w:type="dxa" w:w="2040"/>
            <w:vAlign w:val="top"/>
          </w:tcPr>
          <w:p>
            <w:r>
              <w:t>主張與證據高度對應並說明支持範圍</w:t>
            </w:r>
          </w:p>
        </w:tc>
        <w:tc>
          <w:tcPr>
            <w:tcW w:type="dxa" w:w="2040"/>
            <w:vAlign w:val="top"/>
          </w:tcPr>
          <w:p>
            <w:r>
              <w:t>主張有證據支持</w:t>
            </w:r>
          </w:p>
        </w:tc>
        <w:tc>
          <w:tcPr>
            <w:tcW w:type="dxa" w:w="2040"/>
            <w:vAlign w:val="top"/>
          </w:tcPr>
          <w:p>
            <w:r>
              <w:t>證據不足或連結薄弱</w:t>
            </w:r>
          </w:p>
        </w:tc>
        <w:tc>
          <w:tcPr>
            <w:tcW w:type="dxa" w:w="2040"/>
            <w:vAlign w:val="top"/>
          </w:tcPr>
          <w:p>
            <w:r>
              <w:t>主張無證據</w:t>
            </w:r>
          </w:p>
        </w:tc>
      </w:tr>
      <w:tr>
        <w:tc>
          <w:tcPr>
            <w:tcW w:type="dxa" w:w="2040"/>
            <w:vAlign w:val="top"/>
          </w:tcPr>
          <w:p>
            <w:r>
              <w:t>歷史解釋</w:t>
            </w:r>
          </w:p>
        </w:tc>
        <w:tc>
          <w:tcPr>
            <w:tcW w:type="dxa" w:w="2040"/>
            <w:vAlign w:val="top"/>
          </w:tcPr>
          <w:p>
            <w:r>
              <w:t>能區分史實、證據、解釋與未知</w:t>
            </w:r>
          </w:p>
        </w:tc>
        <w:tc>
          <w:tcPr>
            <w:tcW w:type="dxa" w:w="2040"/>
            <w:vAlign w:val="top"/>
          </w:tcPr>
          <w:p>
            <w:r>
              <w:t>大致能區分</w:t>
            </w:r>
          </w:p>
        </w:tc>
        <w:tc>
          <w:tcPr>
            <w:tcW w:type="dxa" w:w="2040"/>
            <w:vAlign w:val="top"/>
          </w:tcPr>
          <w:p>
            <w:r>
              <w:t>多處混淆</w:t>
            </w:r>
          </w:p>
        </w:tc>
        <w:tc>
          <w:tcPr>
            <w:tcW w:type="dxa" w:w="2040"/>
            <w:vAlign w:val="top"/>
          </w:tcPr>
          <w:p>
            <w:r>
              <w:t>混為一談</w:t>
            </w:r>
          </w:p>
        </w:tc>
      </w:tr>
      <w:tr>
        <w:tc>
          <w:tcPr>
            <w:tcW w:type="dxa" w:w="2040"/>
            <w:vAlign w:val="top"/>
          </w:tcPr>
          <w:p>
            <w:r>
              <w:t>策展倫理</w:t>
            </w:r>
          </w:p>
        </w:tc>
        <w:tc>
          <w:tcPr>
            <w:tcW w:type="dxa" w:w="2040"/>
            <w:vAlign w:val="top"/>
          </w:tcPr>
          <w:p>
            <w:r>
              <w:t>清楚處理沉默與代言界線</w:t>
            </w:r>
          </w:p>
        </w:tc>
        <w:tc>
          <w:tcPr>
            <w:tcW w:type="dxa" w:w="2040"/>
            <w:vAlign w:val="top"/>
          </w:tcPr>
          <w:p>
            <w:r>
              <w:t>有提及倫理界線</w:t>
            </w:r>
          </w:p>
        </w:tc>
        <w:tc>
          <w:tcPr>
            <w:tcW w:type="dxa" w:w="2040"/>
            <w:vAlign w:val="top"/>
          </w:tcPr>
          <w:p>
            <w:r>
              <w:t>界線模糊</w:t>
            </w:r>
          </w:p>
        </w:tc>
        <w:tc>
          <w:tcPr>
            <w:tcW w:type="dxa" w:w="2040"/>
            <w:vAlign w:val="top"/>
          </w:tcPr>
          <w:p>
            <w:r>
              <w:t>任意代言或浪漫化</w:t>
            </w:r>
          </w:p>
        </w:tc>
      </w:tr>
      <w:tr>
        <w:tc>
          <w:tcPr>
            <w:tcW w:type="dxa" w:w="2040"/>
            <w:vAlign w:val="top"/>
          </w:tcPr>
          <w:p>
            <w:r>
              <w:t>表達設計</w:t>
            </w:r>
          </w:p>
        </w:tc>
        <w:tc>
          <w:tcPr>
            <w:tcW w:type="dxa" w:w="2040"/>
            <w:vAlign w:val="top"/>
          </w:tcPr>
          <w:p>
            <w:r>
              <w:t>文字精煉、觀眾可理解、標示清楚</w:t>
            </w:r>
          </w:p>
        </w:tc>
        <w:tc>
          <w:tcPr>
            <w:tcW w:type="dxa" w:w="2040"/>
            <w:vAlign w:val="top"/>
          </w:tcPr>
          <w:p>
            <w:r>
              <w:t>清楚可讀</w:t>
            </w:r>
          </w:p>
        </w:tc>
        <w:tc>
          <w:tcPr>
            <w:tcW w:type="dxa" w:w="2040"/>
            <w:vAlign w:val="top"/>
          </w:tcPr>
          <w:p>
            <w:r>
              <w:t>資訊負荷偏高</w:t>
            </w:r>
          </w:p>
        </w:tc>
        <w:tc>
          <w:tcPr>
            <w:tcW w:type="dxa" w:w="2040"/>
            <w:vAlign w:val="top"/>
          </w:tcPr>
          <w:p>
            <w:r>
              <w:t>難以理解</w:t>
            </w:r>
          </w:p>
        </w:tc>
      </w:tr>
    </w:tbl>
    <w:p/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20260822_高中_教師答案與Rubric_v1.0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