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多模態素材規格｜《沒有聲音的人》策展教育</w:t>
      </w:r>
    </w:p>
    <w:p>
      <w:pPr>
        <w:jc w:val="center"/>
      </w:pPr>
      <w:r>
        <w:t>版本：v1.0｜日期：2026-08-22｜用途：策展教育資源</w:t>
      </w:r>
    </w:p>
    <w:p/>
    <w:p>
      <w:pPr>
        <w:pStyle w:val="Heading1"/>
      </w:pPr>
      <w:r>
        <w:t>一、共用設計原則</w:t>
      </w:r>
    </w:p>
    <w:p>
      <w:pPr>
        <w:pStyle w:val="ListBullet"/>
      </w:pPr>
      <w:r>
        <w:t>每項視覺素材只服務一個主要學習目標。</w:t>
      </w:r>
    </w:p>
    <w:p>
      <w:pPr>
        <w:pStyle w:val="ListBullet"/>
      </w:pPr>
      <w:r>
        <w:t>歷史影像、地圖、碑記或史料須標來源；AI 或重繪圖只標為示意。</w:t>
      </w:r>
    </w:p>
    <w:p>
      <w:pPr>
        <w:pStyle w:val="ListBullet"/>
      </w:pPr>
      <w:r>
        <w:t>同一色彩語意跨階段一致：可確認事實、來源說法、策展詮釋、未知／待查證。</w:t>
      </w:r>
    </w:p>
    <w:p>
      <w:pPr>
        <w:pStyle w:val="ListBullet"/>
      </w:pPr>
      <w:r>
        <w:t>所有圖像提供 alt text；黑白列印仍可辨識。</w:t>
      </w:r>
    </w:p>
    <w:p>
      <w:pPr>
        <w:pStyle w:val="Heading1"/>
      </w:pPr>
      <w:r>
        <w:t>二、素材清單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</w:tcPr>
          <w:p>
            <w:r>
              <w:rPr>
                <w:b/>
              </w:rPr>
              <w:t>asset_id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素材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學習目的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階段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產出規格</w:t>
            </w:r>
          </w:p>
        </w:tc>
        <w:tc>
          <w:tcPr>
            <w:tcW w:type="dxa" w:w="1700"/>
            <w:vAlign w:val="center"/>
          </w:tcPr>
          <w:p>
            <w:r>
              <w:rPr>
                <w:b/>
              </w:rPr>
              <w:t>無障礙</w:t>
            </w:r>
          </w:p>
        </w:tc>
      </w:tr>
      <w:tr>
        <w:tc>
          <w:tcPr>
            <w:tcW w:type="dxa" w:w="1700"/>
            <w:vAlign w:val="top"/>
          </w:tcPr>
          <w:p>
            <w:r>
              <w:t>A01</w:t>
            </w:r>
          </w:p>
        </w:tc>
        <w:tc>
          <w:tcPr>
            <w:tcW w:type="dxa" w:w="1700"/>
            <w:vAlign w:val="top"/>
          </w:tcPr>
          <w:p>
            <w:r>
              <w:t>大庄事件時間軸</w:t>
            </w:r>
          </w:p>
        </w:tc>
        <w:tc>
          <w:tcPr>
            <w:tcW w:type="dxa" w:w="1700"/>
            <w:vAlign w:val="top"/>
          </w:tcPr>
          <w:p>
            <w:r>
              <w:t>理解事件順序與來源差異</w:t>
            </w:r>
          </w:p>
        </w:tc>
        <w:tc>
          <w:tcPr>
            <w:tcW w:type="dxa" w:w="1700"/>
            <w:vAlign w:val="top"/>
          </w:tcPr>
          <w:p>
            <w:r>
              <w:t>三階段</w:t>
            </w:r>
          </w:p>
        </w:tc>
        <w:tc>
          <w:tcPr>
            <w:tcW w:type="dxa" w:w="1700"/>
            <w:vAlign w:val="top"/>
          </w:tcPr>
          <w:p>
            <w:r>
              <w:t>A4 橫式與投影片版；標記確定／待查證</w:t>
            </w:r>
          </w:p>
        </w:tc>
        <w:tc>
          <w:tcPr>
            <w:tcW w:type="dxa" w:w="1700"/>
            <w:vAlign w:val="top"/>
          </w:tcPr>
          <w:p>
            <w:r>
              <w:t>提供文字版時間軸</w:t>
            </w:r>
          </w:p>
        </w:tc>
      </w:tr>
      <w:tr>
        <w:tc>
          <w:tcPr>
            <w:tcW w:type="dxa" w:w="1700"/>
            <w:vAlign w:val="top"/>
          </w:tcPr>
          <w:p>
            <w:r>
              <w:t>A02</w:t>
            </w:r>
          </w:p>
        </w:tc>
        <w:tc>
          <w:tcPr>
            <w:tcW w:type="dxa" w:w="1700"/>
            <w:vAlign w:val="top"/>
          </w:tcPr>
          <w:p>
            <w:r>
              <w:t>花東位置與聚落圖</w:t>
            </w:r>
          </w:p>
        </w:tc>
        <w:tc>
          <w:tcPr>
            <w:tcW w:type="dxa" w:w="1700"/>
            <w:vAlign w:val="top"/>
          </w:tcPr>
          <w:p>
            <w:r>
              <w:t>建立空間脈絡</w:t>
            </w:r>
          </w:p>
        </w:tc>
        <w:tc>
          <w:tcPr>
            <w:tcW w:type="dxa" w:w="1700"/>
            <w:vAlign w:val="top"/>
          </w:tcPr>
          <w:p>
            <w:r>
              <w:t>三階段</w:t>
            </w:r>
          </w:p>
        </w:tc>
        <w:tc>
          <w:tcPr>
            <w:tcW w:type="dxa" w:w="1700"/>
            <w:vAlign w:val="top"/>
          </w:tcPr>
          <w:p>
            <w:r>
              <w:t>只標必要地名；避免過度精細誤導</w:t>
            </w:r>
          </w:p>
        </w:tc>
        <w:tc>
          <w:tcPr>
            <w:tcW w:type="dxa" w:w="1700"/>
            <w:vAlign w:val="top"/>
          </w:tcPr>
          <w:p>
            <w:r>
              <w:t>地名文字清楚</w:t>
            </w:r>
          </w:p>
        </w:tc>
      </w:tr>
      <w:tr>
        <w:tc>
          <w:tcPr>
            <w:tcW w:type="dxa" w:w="1700"/>
            <w:vAlign w:val="top"/>
          </w:tcPr>
          <w:p>
            <w:r>
              <w:t>A03</w:t>
            </w:r>
          </w:p>
        </w:tc>
        <w:tc>
          <w:tcPr>
            <w:tcW w:type="dxa" w:w="1700"/>
            <w:vAlign w:val="top"/>
          </w:tcPr>
          <w:p>
            <w:r>
              <w:t>來源類型卡</w:t>
            </w:r>
          </w:p>
        </w:tc>
        <w:tc>
          <w:tcPr>
            <w:tcW w:type="dxa" w:w="1700"/>
            <w:vAlign w:val="top"/>
          </w:tcPr>
          <w:p>
            <w:r>
              <w:t>辨識展覽敘事、行政紀錄、圖像、文學敘事</w:t>
            </w:r>
          </w:p>
        </w:tc>
        <w:tc>
          <w:tcPr>
            <w:tcW w:type="dxa" w:w="1700"/>
            <w:vAlign w:val="top"/>
          </w:tcPr>
          <w:p>
            <w:r>
              <w:t>國小／國中</w:t>
            </w:r>
          </w:p>
        </w:tc>
        <w:tc>
          <w:tcPr>
            <w:tcW w:type="dxa" w:w="1700"/>
            <w:vAlign w:val="top"/>
          </w:tcPr>
          <w:p>
            <w:r>
              <w:t>四種卡片，每張含用途與限制</w:t>
            </w:r>
          </w:p>
        </w:tc>
        <w:tc>
          <w:tcPr>
            <w:tcW w:type="dxa" w:w="1700"/>
            <w:vAlign w:val="top"/>
          </w:tcPr>
          <w:p>
            <w:r>
              <w:t>圖示加文字</w:t>
            </w:r>
          </w:p>
        </w:tc>
      </w:tr>
      <w:tr>
        <w:tc>
          <w:tcPr>
            <w:tcW w:type="dxa" w:w="1700"/>
            <w:vAlign w:val="top"/>
          </w:tcPr>
          <w:p>
            <w:r>
              <w:t>A04</w:t>
            </w:r>
          </w:p>
        </w:tc>
        <w:tc>
          <w:tcPr>
            <w:tcW w:type="dxa" w:w="1700"/>
            <w:vAlign w:val="top"/>
          </w:tcPr>
          <w:p>
            <w:r>
              <w:t>史料生成流程圖</w:t>
            </w:r>
          </w:p>
        </w:tc>
        <w:tc>
          <w:tcPr>
            <w:tcW w:type="dxa" w:w="1700"/>
            <w:vAlign w:val="top"/>
          </w:tcPr>
          <w:p>
            <w:r>
              <w:t>理解誰留下史料與為何留下</w:t>
            </w:r>
          </w:p>
        </w:tc>
        <w:tc>
          <w:tcPr>
            <w:tcW w:type="dxa" w:w="1700"/>
            <w:vAlign w:val="top"/>
          </w:tcPr>
          <w:p>
            <w:r>
              <w:t>國中／高中</w:t>
            </w:r>
          </w:p>
        </w:tc>
        <w:tc>
          <w:tcPr>
            <w:tcW w:type="dxa" w:w="1700"/>
            <w:vAlign w:val="top"/>
          </w:tcPr>
          <w:p>
            <w:r>
              <w:t>流程圖：事件→紀錄→保存→研究→策展</w:t>
            </w:r>
          </w:p>
        </w:tc>
        <w:tc>
          <w:tcPr>
            <w:tcW w:type="dxa" w:w="1700"/>
            <w:vAlign w:val="top"/>
          </w:tcPr>
          <w:p>
            <w:r>
              <w:t>提供逐步文字說明</w:t>
            </w:r>
          </w:p>
        </w:tc>
      </w:tr>
      <w:tr>
        <w:tc>
          <w:tcPr>
            <w:tcW w:type="dxa" w:w="1700"/>
            <w:vAlign w:val="top"/>
          </w:tcPr>
          <w:p>
            <w:r>
              <w:t>A05</w:t>
            </w:r>
          </w:p>
        </w:tc>
        <w:tc>
          <w:tcPr>
            <w:tcW w:type="dxa" w:w="1700"/>
            <w:vAlign w:val="top"/>
          </w:tcPr>
          <w:p>
            <w:r>
              <w:t>主張—證據—限制圖</w:t>
            </w:r>
          </w:p>
        </w:tc>
        <w:tc>
          <w:tcPr>
            <w:tcW w:type="dxa" w:w="1700"/>
            <w:vAlign w:val="top"/>
          </w:tcPr>
          <w:p>
            <w:r>
              <w:t>訓練歷史論證</w:t>
            </w:r>
          </w:p>
        </w:tc>
        <w:tc>
          <w:tcPr>
            <w:tcW w:type="dxa" w:w="1700"/>
            <w:vAlign w:val="top"/>
          </w:tcPr>
          <w:p>
            <w:r>
              <w:t>高中</w:t>
            </w:r>
          </w:p>
        </w:tc>
        <w:tc>
          <w:tcPr>
            <w:tcW w:type="dxa" w:w="1700"/>
            <w:vAlign w:val="top"/>
          </w:tcPr>
          <w:p>
            <w:r>
              <w:t>三欄式模板，可貼到展板</w:t>
            </w:r>
          </w:p>
        </w:tc>
        <w:tc>
          <w:tcPr>
            <w:tcW w:type="dxa" w:w="1700"/>
            <w:vAlign w:val="top"/>
          </w:tcPr>
          <w:p>
            <w:r>
              <w:t>表格結構簡單</w:t>
            </w:r>
          </w:p>
        </w:tc>
      </w:tr>
    </w:tbl>
    <w:p/>
    <w:p>
      <w:pPr>
        <w:pStyle w:val="Heading1"/>
      </w:pPr>
      <w:r>
        <w:t>三、色彩與標籤規則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</w:tcPr>
          <w:p>
            <w:r>
              <w:rPr>
                <w:b/>
              </w:rPr>
              <w:t>類別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標籤</w:t>
            </w:r>
          </w:p>
        </w:tc>
        <w:tc>
          <w:tcPr>
            <w:tcW w:type="dxa" w:w="3400"/>
            <w:vAlign w:val="center"/>
          </w:tcPr>
          <w:p>
            <w:r>
              <w:rPr>
                <w:b/>
              </w:rPr>
              <w:t>使用限制</w:t>
            </w:r>
          </w:p>
        </w:tc>
      </w:tr>
      <w:tr>
        <w:tc>
          <w:tcPr>
            <w:tcW w:type="dxa" w:w="3400"/>
            <w:vAlign w:val="top"/>
          </w:tcPr>
          <w:p>
            <w:r>
              <w:t>可確認事實</w:t>
            </w:r>
          </w:p>
        </w:tc>
        <w:tc>
          <w:tcPr>
            <w:tcW w:type="dxa" w:w="3400"/>
            <w:vAlign w:val="top"/>
          </w:tcPr>
          <w:p>
            <w:r>
              <w:t>FACT</w:t>
            </w:r>
          </w:p>
        </w:tc>
        <w:tc>
          <w:tcPr>
            <w:tcW w:type="dxa" w:w="3400"/>
            <w:vAlign w:val="top"/>
          </w:tcPr>
          <w:p>
            <w:r>
              <w:t>需有可追溯來源支持</w:t>
            </w:r>
          </w:p>
        </w:tc>
      </w:tr>
      <w:tr>
        <w:tc>
          <w:tcPr>
            <w:tcW w:type="dxa" w:w="3400"/>
            <w:vAlign w:val="top"/>
          </w:tcPr>
          <w:p>
            <w:r>
              <w:t>來源說法</w:t>
            </w:r>
          </w:p>
        </w:tc>
        <w:tc>
          <w:tcPr>
            <w:tcW w:type="dxa" w:w="3400"/>
            <w:vAlign w:val="top"/>
          </w:tcPr>
          <w:p>
            <w:r>
              <w:t>SOURCE CLAIM</w:t>
            </w:r>
          </w:p>
        </w:tc>
        <w:tc>
          <w:tcPr>
            <w:tcW w:type="dxa" w:w="3400"/>
            <w:vAlign w:val="top"/>
          </w:tcPr>
          <w:p>
            <w:r>
              <w:t>標示誰說的，不直接當成事實</w:t>
            </w:r>
          </w:p>
        </w:tc>
      </w:tr>
      <w:tr>
        <w:tc>
          <w:tcPr>
            <w:tcW w:type="dxa" w:w="3400"/>
            <w:vAlign w:val="top"/>
          </w:tcPr>
          <w:p>
            <w:r>
              <w:t>策展詮釋</w:t>
            </w:r>
          </w:p>
        </w:tc>
        <w:tc>
          <w:tcPr>
            <w:tcW w:type="dxa" w:w="3400"/>
            <w:vAlign w:val="top"/>
          </w:tcPr>
          <w:p>
            <w:r>
              <w:t>CURATORIAL INTERPRETATION</w:t>
            </w:r>
          </w:p>
        </w:tc>
        <w:tc>
          <w:tcPr>
            <w:tcW w:type="dxa" w:w="3400"/>
            <w:vAlign w:val="top"/>
          </w:tcPr>
          <w:p>
            <w:r>
              <w:t>標示為詮釋，不混入史料</w:t>
            </w:r>
          </w:p>
        </w:tc>
      </w:tr>
      <w:tr>
        <w:tc>
          <w:tcPr>
            <w:tcW w:type="dxa" w:w="3400"/>
            <w:vAlign w:val="top"/>
          </w:tcPr>
          <w:p>
            <w:r>
              <w:t>文學敘事</w:t>
            </w:r>
          </w:p>
        </w:tc>
        <w:tc>
          <w:tcPr>
            <w:tcW w:type="dxa" w:w="3400"/>
            <w:vAlign w:val="top"/>
          </w:tcPr>
          <w:p>
            <w:r>
              <w:t>LITERARY NARRATION</w:t>
            </w:r>
          </w:p>
        </w:tc>
        <w:tc>
          <w:tcPr>
            <w:tcW w:type="dxa" w:w="3400"/>
            <w:vAlign w:val="top"/>
          </w:tcPr>
          <w:p>
            <w:r>
              <w:t>可用於情境，但不可當證據</w:t>
            </w:r>
          </w:p>
        </w:tc>
      </w:tr>
      <w:tr>
        <w:tc>
          <w:tcPr>
            <w:tcW w:type="dxa" w:w="3400"/>
            <w:vAlign w:val="top"/>
          </w:tcPr>
          <w:p>
            <w:r>
              <w:t>未知／待查證</w:t>
            </w:r>
          </w:p>
        </w:tc>
        <w:tc>
          <w:tcPr>
            <w:tcW w:type="dxa" w:w="3400"/>
            <w:vAlign w:val="top"/>
          </w:tcPr>
          <w:p>
            <w:r>
              <w:t>UNKNOWN</w:t>
            </w:r>
          </w:p>
        </w:tc>
        <w:tc>
          <w:tcPr>
            <w:tcW w:type="dxa" w:w="3400"/>
            <w:vAlign w:val="top"/>
          </w:tcPr>
          <w:p>
            <w:r>
              <w:t>保留問題，不硬填答案</w:t>
            </w:r>
          </w:p>
        </w:tc>
      </w:tr>
    </w:tbl>
    <w:p/>
    <w:p>
      <w:pPr>
        <w:pStyle w:val="Heading1"/>
      </w:pPr>
      <w:r>
        <w:t>四、投影片使用建議</w:t>
      </w:r>
    </w:p>
    <w:p>
      <w:pPr>
        <w:pStyle w:val="ListBullet"/>
      </w:pPr>
      <w:r>
        <w:t>一頁一個主要問題，不貼滿長文。</w:t>
      </w:r>
    </w:p>
    <w:p>
      <w:pPr>
        <w:pStyle w:val="ListBullet"/>
      </w:pPr>
      <w:r>
        <w:t>教師備註放來源與追問；學生版只呈現任務需要的文字。</w:t>
      </w:r>
    </w:p>
    <w:p>
      <w:pPr>
        <w:pStyle w:val="ListBullet"/>
      </w:pPr>
      <w:r>
        <w:t>先出問題，再揭露參考答案，避免形成性評量失效。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JhengHei" w:hAnsi="Microsoft JhengHe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JhengHei" w:hAnsi="Microsoft JhengHei" w:eastAsia="Microsoft Jheng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JhengHei" w:hAnsi="Microsoft JhengHei" w:eastAsia="Microsoft Jheng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20260822_多模態素材規格_v1.0</dc:title>
  <dc:subject/>
  <dc:creator>EduSource Studio</dc:creator>
  <cp:keywords>沒有聲音的人, 大庄事件, 108課綱, 語文領域, 社會領域, 策展教育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