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評量總覽與雙向細目｜《沒有聲音的人》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一、評量設計總則</w:t>
      </w:r>
    </w:p>
    <w:p>
      <w:pPr>
        <w:pStyle w:val="ListBullet"/>
      </w:pPr>
      <w:r>
        <w:t>評量證據必須對應可觀察學習目標。</w:t>
      </w:r>
    </w:p>
    <w:p>
      <w:pPr>
        <w:pStyle w:val="ListBullet"/>
      </w:pPr>
      <w:r>
        <w:t>資料判讀題提供必要來源，不要求學生臨場自行上網才能作答。</w:t>
      </w:r>
    </w:p>
    <w:p>
      <w:pPr>
        <w:pStyle w:val="ListBullet"/>
      </w:pPr>
      <w:r>
        <w:t>開放題採 Rubric 評分，接受等價答案，但不接受無證據推測。</w:t>
      </w:r>
    </w:p>
    <w:p>
      <w:pPr>
        <w:pStyle w:val="ListBullet"/>
      </w:pPr>
      <w:r>
        <w:t>學生版不含答案；教師版明列來源依據與常見錯誤。</w:t>
      </w:r>
    </w:p>
    <w:p>
      <w:pPr>
        <w:pStyle w:val="Heading1"/>
      </w:pPr>
      <w:r>
        <w:t>二、三階段評量藍圖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階段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形成性評量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總結性評量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核心準則</w:t>
            </w:r>
          </w:p>
        </w:tc>
      </w:tr>
      <w:tr>
        <w:tc>
          <w:tcPr>
            <w:tcW w:type="dxa" w:w="2550"/>
            <w:vAlign w:val="top"/>
          </w:tcPr>
          <w:p>
            <w:r>
              <w:t>國小高年級</w:t>
            </w:r>
          </w:p>
        </w:tc>
        <w:tc>
          <w:tcPr>
            <w:tcW w:type="dxa" w:w="2550"/>
            <w:vAlign w:val="top"/>
          </w:tcPr>
          <w:p>
            <w:r>
              <w:t>出口單、事實／推測分類、比較表</w:t>
            </w:r>
          </w:p>
        </w:tc>
        <w:tc>
          <w:tcPr>
            <w:tcW w:type="dxa" w:w="2550"/>
            <w:vAlign w:val="top"/>
          </w:tcPr>
          <w:p>
            <w:r>
              <w:t>證據小偵探圖卡＋短文</w:t>
            </w:r>
          </w:p>
        </w:tc>
        <w:tc>
          <w:tcPr>
            <w:tcW w:type="dxa" w:w="2550"/>
            <w:vAlign w:val="top"/>
          </w:tcPr>
          <w:p>
            <w:r>
              <w:t>事實推測區分、證據使用、表達清楚</w:t>
            </w:r>
          </w:p>
        </w:tc>
      </w:tr>
      <w:tr>
        <w:tc>
          <w:tcPr>
            <w:tcW w:type="dxa" w:w="2550"/>
            <w:vAlign w:val="top"/>
          </w:tcPr>
          <w:p>
            <w:r>
              <w:t>國中</w:t>
            </w:r>
          </w:p>
        </w:tc>
        <w:tc>
          <w:tcPr>
            <w:tcW w:type="dxa" w:w="2550"/>
            <w:vAlign w:val="top"/>
          </w:tcPr>
          <w:p>
            <w:r>
              <w:t>來源分析表、句子分類、文本比較</w:t>
            </w:r>
          </w:p>
        </w:tc>
        <w:tc>
          <w:tcPr>
            <w:tcW w:type="dxa" w:w="2550"/>
            <w:vAlign w:val="top"/>
          </w:tcPr>
          <w:p>
            <w:r>
              <w:t>歷史新聞改寫</w:t>
            </w:r>
          </w:p>
        </w:tc>
        <w:tc>
          <w:tcPr>
            <w:tcW w:type="dxa" w:w="2550"/>
            <w:vAlign w:val="top"/>
          </w:tcPr>
          <w:p>
            <w:r>
              <w:t>來源判讀、史實／解釋區分、證據寫作</w:t>
            </w:r>
          </w:p>
        </w:tc>
      </w:tr>
      <w:tr>
        <w:tc>
          <w:tcPr>
            <w:tcW w:type="dxa" w:w="2550"/>
            <w:vAlign w:val="top"/>
          </w:tcPr>
          <w:p>
            <w:r>
              <w:t>高中</w:t>
            </w:r>
          </w:p>
        </w:tc>
        <w:tc>
          <w:tcPr>
            <w:tcW w:type="dxa" w:w="2550"/>
            <w:vAlign w:val="top"/>
          </w:tcPr>
          <w:p>
            <w:r>
              <w:t>史料生成分析、主張—證據—限制表</w:t>
            </w:r>
          </w:p>
        </w:tc>
        <w:tc>
          <w:tcPr>
            <w:tcW w:type="dxa" w:w="2550"/>
            <w:vAlign w:val="top"/>
          </w:tcPr>
          <w:p>
            <w:r>
              <w:t>微型策展提案</w:t>
            </w:r>
          </w:p>
        </w:tc>
        <w:tc>
          <w:tcPr>
            <w:tcW w:type="dxa" w:w="2550"/>
            <w:vAlign w:val="top"/>
          </w:tcPr>
          <w:p>
            <w:r>
              <w:t>史料批判、證據適切性、策展倫理</w:t>
            </w:r>
          </w:p>
        </w:tc>
      </w:tr>
    </w:tbl>
    <w:p/>
    <w:p>
      <w:pPr>
        <w:pStyle w:val="Heading1"/>
      </w:pPr>
      <w:r>
        <w:t>三、題型配置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題型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國小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國中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高中</w:t>
            </w:r>
          </w:p>
        </w:tc>
      </w:tr>
      <w:tr>
        <w:tc>
          <w:tcPr>
            <w:tcW w:type="dxa" w:w="2550"/>
            <w:vAlign w:val="top"/>
          </w:tcPr>
          <w:p>
            <w:r>
              <w:t>選擇／配合</w:t>
            </w:r>
          </w:p>
        </w:tc>
        <w:tc>
          <w:tcPr>
            <w:tcW w:type="dxa" w:w="2550"/>
            <w:vAlign w:val="top"/>
          </w:tcPr>
          <w:p>
            <w:r>
              <w:t>詞彙與來源類型</w:t>
            </w:r>
          </w:p>
        </w:tc>
        <w:tc>
          <w:tcPr>
            <w:tcW w:type="dxa" w:w="2550"/>
            <w:vAlign w:val="top"/>
          </w:tcPr>
          <w:p>
            <w:r>
              <w:t>來源性質與分類</w:t>
            </w:r>
          </w:p>
        </w:tc>
        <w:tc>
          <w:tcPr>
            <w:tcW w:type="dxa" w:w="2550"/>
            <w:vAlign w:val="top"/>
          </w:tcPr>
          <w:p>
            <w:r>
              <w:t>概念確認</w:t>
            </w:r>
          </w:p>
        </w:tc>
      </w:tr>
      <w:tr>
        <w:tc>
          <w:tcPr>
            <w:tcW w:type="dxa" w:w="2550"/>
            <w:vAlign w:val="top"/>
          </w:tcPr>
          <w:p>
            <w:r>
              <w:t>短答</w:t>
            </w:r>
          </w:p>
        </w:tc>
        <w:tc>
          <w:tcPr>
            <w:tcW w:type="dxa" w:w="2550"/>
            <w:vAlign w:val="top"/>
          </w:tcPr>
          <w:p>
            <w:r>
              <w:t>我怎麼知道？</w:t>
            </w:r>
          </w:p>
        </w:tc>
        <w:tc>
          <w:tcPr>
            <w:tcW w:type="dxa" w:w="2550"/>
            <w:vAlign w:val="top"/>
          </w:tcPr>
          <w:p>
            <w:r>
              <w:t>為何不同來源說法不同？</w:t>
            </w:r>
          </w:p>
        </w:tc>
        <w:tc>
          <w:tcPr>
            <w:tcW w:type="dxa" w:w="2550"/>
            <w:vAlign w:val="top"/>
          </w:tcPr>
          <w:p>
            <w:r>
              <w:t>證據能支持到哪裡？</w:t>
            </w:r>
          </w:p>
        </w:tc>
      </w:tr>
      <w:tr>
        <w:tc>
          <w:tcPr>
            <w:tcW w:type="dxa" w:w="2550"/>
            <w:vAlign w:val="top"/>
          </w:tcPr>
          <w:p>
            <w:r>
              <w:t>資料判讀</w:t>
            </w:r>
          </w:p>
        </w:tc>
        <w:tc>
          <w:tcPr>
            <w:tcW w:type="dxa" w:w="2550"/>
            <w:vAlign w:val="top"/>
          </w:tcPr>
          <w:p>
            <w:r>
              <w:t>短文本＋圖卡</w:t>
            </w:r>
          </w:p>
        </w:tc>
        <w:tc>
          <w:tcPr>
            <w:tcW w:type="dxa" w:w="2550"/>
            <w:vAlign w:val="top"/>
          </w:tcPr>
          <w:p>
            <w:r>
              <w:t>多文本比較</w:t>
            </w:r>
          </w:p>
        </w:tc>
        <w:tc>
          <w:tcPr>
            <w:tcW w:type="dxa" w:w="2550"/>
            <w:vAlign w:val="top"/>
          </w:tcPr>
          <w:p>
            <w:r>
              <w:t>原始／轉譯史料比較</w:t>
            </w:r>
          </w:p>
        </w:tc>
      </w:tr>
      <w:tr>
        <w:tc>
          <w:tcPr>
            <w:tcW w:type="dxa" w:w="2550"/>
            <w:vAlign w:val="top"/>
          </w:tcPr>
          <w:p>
            <w:r>
              <w:t>表現任務</w:t>
            </w:r>
          </w:p>
        </w:tc>
        <w:tc>
          <w:tcPr>
            <w:tcW w:type="dxa" w:w="2550"/>
            <w:vAlign w:val="top"/>
          </w:tcPr>
          <w:p>
            <w:r>
              <w:t>圖卡＋短文</w:t>
            </w:r>
          </w:p>
        </w:tc>
        <w:tc>
          <w:tcPr>
            <w:tcW w:type="dxa" w:w="2550"/>
            <w:vAlign w:val="top"/>
          </w:tcPr>
          <w:p>
            <w:r>
              <w:t>新聞改寫</w:t>
            </w:r>
          </w:p>
        </w:tc>
        <w:tc>
          <w:tcPr>
            <w:tcW w:type="dxa" w:w="2550"/>
            <w:vAlign w:val="top"/>
          </w:tcPr>
          <w:p>
            <w:r>
              <w:t>微型策展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20260822_評量總覽與雙向細目_v1.0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