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來源與授權說明｜《沒有聲音的人》教育資源包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一、來源清單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</w:tcPr>
          <w:p>
            <w:r>
              <w:rPr>
                <w:b/>
              </w:rPr>
              <w:t>source_id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來源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用途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使用界線</w:t>
            </w:r>
          </w:p>
        </w:tc>
      </w:tr>
      <w:tr>
        <w:tc>
          <w:tcPr>
            <w:tcW w:type="dxa" w:w="2550"/>
            <w:vAlign w:val="top"/>
          </w:tcPr>
          <w:p>
            <w:r>
              <w:t>S-ULA-01</w:t>
            </w:r>
          </w:p>
        </w:tc>
        <w:tc>
          <w:tcPr>
            <w:tcW w:type="dxa" w:w="2550"/>
            <w:vAlign w:val="top"/>
          </w:tcPr>
          <w:p>
            <w:r>
              <w:t>ULA Taiwan Points《沒有聲音的人｜一八八八，呂家望》展覽頁</w:t>
            </w:r>
          </w:p>
        </w:tc>
        <w:tc>
          <w:tcPr>
            <w:tcW w:type="dxa" w:w="2550"/>
            <w:vAlign w:val="top"/>
          </w:tcPr>
          <w:p>
            <w:r>
              <w:t>策展主題與學習問題基礎</w:t>
            </w:r>
          </w:p>
        </w:tc>
        <w:tc>
          <w:tcPr>
            <w:tcW w:type="dxa" w:w="2550"/>
            <w:vAlign w:val="top"/>
          </w:tcPr>
          <w:p>
            <w:r>
              <w:t>未完整重製展覽全文；教材以摘要、轉化與任務設計為主</w:t>
            </w:r>
          </w:p>
        </w:tc>
      </w:tr>
      <w:tr>
        <w:tc>
          <w:tcPr>
            <w:tcW w:type="dxa" w:w="2550"/>
            <w:vAlign w:val="top"/>
          </w:tcPr>
          <w:p>
            <w:r>
              <w:t>S-ULA-02</w:t>
            </w:r>
          </w:p>
        </w:tc>
        <w:tc>
          <w:tcPr>
            <w:tcW w:type="dxa" w:w="2550"/>
            <w:vAlign w:val="top"/>
          </w:tcPr>
          <w:p>
            <w:r>
              <w:t>ULA 教學與網站方法說明</w:t>
            </w:r>
          </w:p>
        </w:tc>
        <w:tc>
          <w:tcPr>
            <w:tcW w:type="dxa" w:w="2550"/>
            <w:vAlign w:val="top"/>
          </w:tcPr>
          <w:p>
            <w:r>
              <w:t>來源分類、教學轉譯與策展倫理</w:t>
            </w:r>
          </w:p>
        </w:tc>
        <w:tc>
          <w:tcPr>
            <w:tcW w:type="dxa" w:w="2550"/>
            <w:vAlign w:val="top"/>
          </w:tcPr>
          <w:p>
            <w:r>
              <w:t>不可將策展詮釋冒充史實</w:t>
            </w:r>
          </w:p>
        </w:tc>
      </w:tr>
      <w:tr>
        <w:tc>
          <w:tcPr>
            <w:tcW w:type="dxa" w:w="2550"/>
            <w:vAlign w:val="top"/>
          </w:tcPr>
          <w:p>
            <w:r>
              <w:t>S-CUR-01</w:t>
            </w:r>
          </w:p>
        </w:tc>
        <w:tc>
          <w:tcPr>
            <w:tcW w:type="dxa" w:w="2550"/>
            <w:vAlign w:val="top"/>
          </w:tcPr>
          <w:p>
            <w:r>
              <w:t>國教院 108 課綱：國語文</w:t>
            </w:r>
          </w:p>
        </w:tc>
        <w:tc>
          <w:tcPr>
            <w:tcW w:type="dxa" w:w="2550"/>
            <w:vAlign w:val="top"/>
          </w:tcPr>
          <w:p>
            <w:r>
              <w:t>語文學習目標與課綱對照</w:t>
            </w:r>
          </w:p>
        </w:tc>
        <w:tc>
          <w:tcPr>
            <w:tcW w:type="dxa" w:w="2550"/>
            <w:vAlign w:val="top"/>
          </w:tcPr>
          <w:p>
            <w:r>
              <w:t>課綱代碼需依正式文件核對</w:t>
            </w:r>
          </w:p>
        </w:tc>
      </w:tr>
      <w:tr>
        <w:tc>
          <w:tcPr>
            <w:tcW w:type="dxa" w:w="2550"/>
            <w:vAlign w:val="top"/>
          </w:tcPr>
          <w:p>
            <w:r>
              <w:t>S-CUR-02</w:t>
            </w:r>
          </w:p>
        </w:tc>
        <w:tc>
          <w:tcPr>
            <w:tcW w:type="dxa" w:w="2550"/>
            <w:vAlign w:val="top"/>
          </w:tcPr>
          <w:p>
            <w:r>
              <w:t>國教院 108 課綱：社會領域</w:t>
            </w:r>
          </w:p>
        </w:tc>
        <w:tc>
          <w:tcPr>
            <w:tcW w:type="dxa" w:w="2550"/>
            <w:vAlign w:val="top"/>
          </w:tcPr>
          <w:p>
            <w:r>
              <w:t>社會／歷史學習目標與課綱對照</w:t>
            </w:r>
          </w:p>
        </w:tc>
        <w:tc>
          <w:tcPr>
            <w:tcW w:type="dxa" w:w="2550"/>
            <w:vAlign w:val="top"/>
          </w:tcPr>
          <w:p>
            <w:r>
              <w:t>課綱代碼需依正式文件核對</w:t>
            </w:r>
          </w:p>
        </w:tc>
      </w:tr>
      <w:tr>
        <w:tc>
          <w:tcPr>
            <w:tcW w:type="dxa" w:w="2550"/>
            <w:vAlign w:val="top"/>
          </w:tcPr>
          <w:p>
            <w:r>
              <w:t>S-HIS-01</w:t>
            </w:r>
          </w:p>
        </w:tc>
        <w:tc>
          <w:tcPr>
            <w:tcW w:type="dxa" w:w="2550"/>
            <w:vAlign w:val="top"/>
          </w:tcPr>
          <w:p>
            <w:r>
              <w:t>大庄事件與呂家望社相關官方／學術資料</w:t>
            </w:r>
          </w:p>
        </w:tc>
        <w:tc>
          <w:tcPr>
            <w:tcW w:type="dxa" w:w="2550"/>
            <w:vAlign w:val="top"/>
          </w:tcPr>
          <w:p>
            <w:r>
              <w:t>歷史基線校對</w:t>
            </w:r>
          </w:p>
        </w:tc>
        <w:tc>
          <w:tcPr>
            <w:tcW w:type="dxa" w:w="2550"/>
            <w:vAlign w:val="top"/>
          </w:tcPr>
          <w:p>
            <w:r>
              <w:t>不同來源差異保留為教學材料，不硬統一</w:t>
            </w:r>
          </w:p>
        </w:tc>
      </w:tr>
    </w:tbl>
    <w:p/>
    <w:p>
      <w:pPr>
        <w:pStyle w:val="Heading1"/>
      </w:pPr>
      <w:r>
        <w:t>二、授權與再製規則</w:t>
      </w:r>
    </w:p>
    <w:p>
      <w:pPr>
        <w:pStyle w:val="ListBullet"/>
      </w:pPr>
      <w:r>
        <w:t>公開可讀不等於可整份重製；本包以摘要、評論、教學轉化與必要短引為主。</w:t>
      </w:r>
    </w:p>
    <w:p>
      <w:pPr>
        <w:pStyle w:val="ListBullet"/>
      </w:pPr>
      <w:r>
        <w:t>若策展現場要展示原網站圖片、圖鑑或完整節點，需由策展方確認授權。</w:t>
      </w:r>
    </w:p>
    <w:p>
      <w:pPr>
        <w:pStyle w:val="ListBullet"/>
      </w:pPr>
      <w:r>
        <w:t>重繪時間軸、地圖與概念圖時，須標註資料來源與『重新整理／重繪』。</w:t>
      </w:r>
    </w:p>
    <w:p>
      <w:pPr>
        <w:pStyle w:val="ListBullet"/>
      </w:pPr>
      <w:r>
        <w:t>AI 生成或示意圖不能當成史料、現場照片或歷史證據。</w:t>
      </w:r>
    </w:p>
    <w:p>
      <w:pPr>
        <w:pStyle w:val="Heading1"/>
      </w:pPr>
      <w:r>
        <w:t>三、敏感內容與族群敘事</w:t>
      </w:r>
    </w:p>
    <w:p>
      <w:pPr>
        <w:pStyle w:val="ListBullet"/>
      </w:pPr>
      <w:r>
        <w:t>避免將任何族群簡化為單一立場或單一角色。</w:t>
      </w:r>
    </w:p>
    <w:p>
      <w:pPr>
        <w:pStyle w:val="ListBullet"/>
      </w:pPr>
      <w:r>
        <w:t>避免使用未經說明的歷史貶稱；若來源中出現，須作為『來源用語』教學而非教材用語。</w:t>
      </w:r>
    </w:p>
    <w:p>
      <w:pPr>
        <w:pStyle w:val="ListBullet"/>
      </w:pPr>
      <w:r>
        <w:t>避免以想像補足沒有留下文字者的內心，除非明確標示為文學創作。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20260822_來源與授權說明_v1.0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